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bdr w:val="none" w:color="auto" w:sz="0" w:space="0"/>
          <w:shd w:val="clear" w:fill="FFFFFF"/>
        </w:rPr>
        <w:t>书香法苑 终身成长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丰富干警文化生活、提升干警精神境界与知行素养，近日，辉南法院召开“书香法苑”第一届读书会活动，十余名法院干警参加活动，在领悟卡罗尔·德韦克《终身成长》的心理学之旅中，探索固有思维与成长型思维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人生之旅，难免会有荆棘满布与步履维艰时，面对艰难险阻，恐惧逃避无法解决根本问题，读书会希望通过阅读学习《终身成长》，让干警探索养成成长型思维，直面难题，突破瓶颈。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57800" cy="3505200"/>
            <wp:effectExtent l="0" t="0" r="0" b="0"/>
            <wp:docPr id="6" name="图片 6" descr="IMG_0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03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分享会上，朗读者李明明为大家带来《终身成长》中的精彩选段。随后，大家围绕“终身成长”主题，结合自身成长经历，畅谈领悟、分享见解，在游戏互动中，开拓视野，品味人生，力求通过读书会将知识转化为司法智慧，做到学以致用、知行合一。推动学习型法院建设与文化型法院建设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57800" cy="3505200"/>
            <wp:effectExtent l="0" t="0" r="0" b="0"/>
            <wp:docPr id="28" name="图片 28" descr="IMG_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04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读书，是一种生活习惯，更是一种工作责任。是思想与灵魂的激荡，是创意闪耀的智慧光芒。通过举办“书香法苑”读书会，为广大法院干警提供了一方自在徜徉的天地，为因读书而聚合的群落点起一盏灯，让所有学术道路上的人体会到“吾道不孤”的幸运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57800" cy="3505200"/>
            <wp:effectExtent l="0" t="0" r="0" b="0"/>
            <wp:docPr id="29" name="图片 29" descr="IMG_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IMG_04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不同的人具有不同的思维，做为法官，工作中我们既要具有成长型思维，不断学习充实自我，又要在工作中有固定思维，因为法官这一职业要求我们不能善变。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——民事法官白喜友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思维的成长不仅包括语言的成长，更包括行为的进步，考取司法证、解决工作难题，提升自我能力，任何成长蜕变都要经过吃苦磨炼，并从中受益终身。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——政治部副主任魏洪宇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26" name="图片 25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27" name="图片 26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我本身不是法律科班出身，因在法院工作而不断充实学习法律知识，正是这种成长型思维，让我从中受益。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——立案法官于涛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虽然我比较年长，但我具有成长型思维，始终以“三人行必有我师，闻道有先后，术业有专攻”的标准要求自己。在学习中认识更好的自己。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——司法警察栗永杰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31" name="图片 30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32" name="图片 31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在工作生活中，我是一种固定思维，而法官这一职业需要不断学习，提升法律素养，就像学习最新颁布的《民法典》，必须要具有成长型思维。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——执行局法官孙利国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成长型思维让我变得更好，作为一名家事法官，为了让法律留有温度，我转变思维，学习心理学，力求在心理学与法律之间搭建桥梁，探索创新司法形式。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——民事法官李明明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23" name="图片 32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2" descr="IMG_2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04800" cy="304800"/>
            <wp:effectExtent l="0" t="0" r="0" b="0"/>
            <wp:docPr id="33" name="图片 33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IMG_2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在生活中，每个人都是固定思维与成长型思维的混合体，在法院工作中，我们每天都要面临新的事物，必须具有成长型思维，才能不断完善自我。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——刑事法官赵庆博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我属于固定思维，而来到法院后，浓厚的学习氛围让我养成成长型思维，在学习中不断提升自身能力。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——人民陪审员鄢德新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在工作生活中，既需要固定型思维，也需要成长型思维，而通过今天的读书会分享，让我受益匪浅。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——法警队李洋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在学习上我具有成长型思维，儿时上学数学不好，老师让我做数学课代表，从中我学会了天分不够努力来凑的道理，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——民事庭书记员王杉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Style w:val="6"/>
          <w:rFonts w:hint="default" w:ascii="仿宋_GB2312" w:hAnsi="仿宋_GB2312" w:eastAsia="仿宋_GB2312" w:cs="仿宋_GB2312"/>
          <w:b w:val="0"/>
          <w:bCs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辉南县人民法院 井琨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F14CB"/>
    <w:rsid w:val="79A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2020-07-14T08:08:00Z</dcterms:created>
  <dc:creator>Administrator</dc:creator>
  <cp:lastModifiedBy>Administrator</cp:lastModifiedBy>
  <dcterms:modified xsi:type="dcterms:W3CDTF">2020-07-14T08:46:30Z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