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案号：（2021）吉0523刑初158号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推荐理由：获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得</w:t>
      </w:r>
      <w:r>
        <w:rPr>
          <w:rStyle w:val="4"/>
          <w:rFonts w:hint="eastAsia" w:ascii="仿宋" w:hAnsi="仿宋" w:eastAsia="仿宋" w:cs="仿宋"/>
          <w:b w:val="0"/>
          <w:bCs w:val="0"/>
          <w:color w:val="000000"/>
          <w:sz w:val="32"/>
          <w:szCs w:val="32"/>
          <w:bdr w:val="none" w:color="auto" w:sz="0" w:space="0"/>
        </w:rPr>
        <w:t>2022年全国法院环境资源刑事审判优秀业务成果评选活动</w:t>
      </w:r>
      <w:r>
        <w:rPr>
          <w:rStyle w:val="4"/>
          <w:rFonts w:hint="eastAsia" w:ascii="仿宋" w:hAnsi="仿宋" w:eastAsia="仿宋" w:cs="仿宋"/>
          <w:b w:val="0"/>
          <w:bCs w:val="0"/>
          <w:color w:val="000000"/>
          <w:sz w:val="32"/>
          <w:szCs w:val="32"/>
          <w:bdr w:val="none" w:color="auto" w:sz="0" w:space="0"/>
          <w:lang w:val="en-US" w:eastAsia="zh-CN"/>
        </w:rPr>
        <w:t>二等奖，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叙述事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实与论述说理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结合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、引用法条与裁判主文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得当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、审判组织与诉讼程序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规范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、文书格式与构成要素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丰富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、语言文字与标点符号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规范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</w:rPr>
        <w:t>，体现环境资源刑事审判专业性及示范意义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eastAsia="zh-CN"/>
        </w:rPr>
        <w:t>。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5"/>
          <w:sz w:val="32"/>
          <w:szCs w:val="32"/>
          <w:shd w:val="clear" w:fill="FFFFFF"/>
          <w:lang w:val="en-US" w:eastAsia="zh-CN"/>
        </w:rPr>
        <w:t>链接：暂未公开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YWI5ZWNjNDkzMDE5ZjdjNDg1ODk2OWQxNWQ3MzUifQ=="/>
  </w:docVars>
  <w:rsids>
    <w:rsidRoot w:val="00000000"/>
    <w:rsid w:val="6051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7</TotalTime>
  <ScaleCrop>false</ScaleCrop>
  <LinksUpToDate>false</LinksUpToDate>
  <CharactersWithSpaces>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2022-12-02T13:47:40Z</dcterms:created>
  <dc:creator>李佳欣</dc:creator>
  <cp:lastModifiedBy>李佳欣</cp:lastModifiedBy>
  <dcterms:modified xsi:type="dcterms:W3CDTF">2022-12-02T13:55:05Z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E948769BB9B74F6396FA44B0029D76D5</vt:lpwstr>
  </property>
</Properties>
</file>